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校园绿化美化亮化建设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 xml:space="preserve">        确保各校区内绿化植物能够健康生长、文化景观得以保持、绿化 环境整洁美观、绿化设施安全、充分发挥绿化应有的生态效益、景观效益和社会效益，体现绿化和文化景观的综合服务功能。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 维持绿化景观、发挥绿化生态效益和绿化景观综合服务功能。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 公共绿地、行道树、花卉景观养护。管理涉及：绿地植被、行道树、花卉进行施肥、灌水、中耕除草、修剪、有害生物防治、草本花卉更新、绿化环境保洁及应对自然灾害发生而进行预防和应急抢险等。绩效目标是保障公共 绿地、行道树、花卉景观存活率和附属设施完好率、环境整洁度、排险抢险及时性及有效性；植物生长势优良率和景观面貌优良率、管理者满意度、社会公众满意度。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400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320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本项目实施完成良好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