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师资队伍建设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现有在职教职工634人，其中正高33人、副高262人。现有享受国务院特殊津贴专家1人，省“333工程”第二层次培养对象1人、第三层次培养对象10人，省、市突出贡献中青年专家2人，省“六大人才高峰”高层次人才团队2个，省高校“青蓝工程”学术带头人、国家和省市优秀青年骨干教师、优秀教育工作者近40人。通过一年建设，正高人数将会增加3 人，副高人数 瘵会增加6人，博士将增加2人。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>建设一支在省内乃至国内有影响的教师队伍，达到一般本科水平的师资力量。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>1.完成新进教师的岗前培训和考试，通过率100%；2.选派10名中青年教师圣驾国家级、省级培训；3.选派4名教师参加国内、省内访问学者及境外研修；4.对现有“青蓝工程”培养对象的培养；5.组织20名青年教师到企业实践；6对全校.教师进行师德教育；7.组织“双师型”教师培养工程，“双师型”教师不低于70%；8.选派2名专业带头人高端研修；9.引进3名博士或正高级职称教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350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338.83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本项目实施完成良好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按预算执行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